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20"/>
      </w:pPr>
      <w:r>
        <w:rPr>
          <w:rFonts w:ascii="Arial" w:cs="Arial" w:eastAsia="Arial" w:hAnsi="Arial"/>
          <w:b/>
          <w:bCs/>
          <w:color w:val="2D3A1F"/>
          <w:sz w:val="40"/>
          <w:szCs w:val="40"/>
        </w:rPr>
        <w:t xml:space="preserve">Product 5: Secondary Market</w:t>
      </w:r>
    </w:p>
    <w:p>
      <w:pPr>
        <w:pBdr>
          <w:bottom w:val="single" w:color="2D3A1F" w:sz="6" w:space="8"/>
        </w:pBdr>
        <w:spacing w:after="360"/>
      </w:pPr>
      <w:r>
        <w:rPr>
          <w:rFonts w:ascii="Arial" w:cs="Arial" w:eastAsia="Arial" w:hAnsi="Arial"/>
          <w:color w:val="595959"/>
          <w:sz w:val="20"/>
          <w:szCs w:val="20"/>
        </w:rPr>
        <w:t xml:space="preserve">Curated secondary opportunities · Mandate Overflow model · sales reference + шаблон Secondary Brief (внутренний)</w:t>
      </w:r>
    </w:p>
    <w:p>
      <w:pPr>
        <w:pStyle w:val="Heading1"/>
        <w:spacing w:after="160" w:before="360"/>
      </w:pPr>
      <w:r>
        <w:rPr>
          <w:rFonts w:ascii="Arial" w:cs="Arial" w:eastAsia="Arial" w:hAnsi="Arial"/>
        </w:rPr>
        <w:t xml:space="preserve">Одна фраза</w:t>
      </w:r>
    </w:p>
    <w:p>
      <w:pPr>
        <w:pBdr>
          <w:left w:val="single" w:color="2D3A1F" w:sz="18" w:space="12"/>
        </w:pBdr>
        <w:spacing w:after="160" w:line="300"/>
        <w:ind w:left="400"/>
      </w:pPr>
      <w:r>
        <w:rPr>
          <w:rFonts w:ascii="Arial" w:cs="Arial" w:eastAsia="Arial" w:hAnsi="Arial"/>
          <w:i/>
          <w:iCs/>
        </w:rPr>
        <w:t xml:space="preserve">Cyprus Valley даёт инвесторам вход в уже существующие позиции в капитале компаний — secondary opportunities, которые CV системно собирает от партнёрских фондов, VC, family offices и Network VC, включая сделки, не проходящие их собственный мандат. Для покупателя — компания, уже прошедшая ранние риски. Для продавца — ликвидность без ожидания exit. Для CV — стабильный deal flow и растущая инвесторская сеть.</w:t>
      </w:r>
    </w:p>
    <w:p>
      <w:pPr>
        <w:spacing w:after="120" w:line="300"/>
      </w:pPr>
      <w:r>
        <w:rPr>
          <w:rFonts w:ascii="Arial" w:cs="Arial" w:eastAsia="Arial" w:hAnsi="Arial"/>
          <w:b/>
          <w:bCs/>
        </w:rPr>
        <w:t xml:space="preserve">EN:</w:t>
      </w:r>
    </w:p>
    <w:p>
      <w:pPr>
        <w:pBdr>
          <w:left w:val="single" w:color="2D3A1F" w:sz="18" w:space="12"/>
        </w:pBdr>
        <w:spacing w:after="160" w:line="300"/>
        <w:ind w:left="400"/>
      </w:pPr>
      <w:r>
        <w:rPr>
          <w:rFonts w:ascii="Arial" w:cs="Arial" w:eastAsia="Arial" w:hAnsi="Arial"/>
          <w:i/>
          <w:iCs/>
        </w:rPr>
        <w:t xml:space="preserve">Curated secondary opportunities: entry into existing positions in companies that have already passed their early-stage risk — sourced from partner funds, VCs and family offices, including quality deals outside their own mandate.</w:t>
      </w:r>
    </w:p>
    <w:p>
      <w:pPr>
        <w:pStyle w:val="Heading2"/>
        <w:spacing w:after="120" w:before="240"/>
      </w:pPr>
      <w:r>
        <w:rPr>
          <w:rFonts w:ascii="Arial" w:cs="Arial" w:eastAsia="Arial" w:hAnsi="Arial"/>
        </w:rPr>
        <w:t xml:space="preserve">Название оффера (M-A-G-I-C)</w:t>
      </w:r>
    </w:p>
    <w:tbl>
      <w:tblPr>
        <w:tblW w:type="dxa" w:w="9638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</w:tblPr>
      <w:tblGrid>
        <w:gridCol w:w="1928"/>
        <w:gridCol w:w="4241"/>
        <w:gridCol w:w="3469"/>
      </w:tblGrid>
      <w:tr>
        <w:trPr>
          <w:cantSplit/>
          <w:tblHeader/>
        </w:trPr>
        <w:tc>
          <w:tcPr>
            <w:tcW w:type="dxa" w:w="1928"/>
            <w:shd w:fill="2D3A1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Элемент</w:t>
            </w:r>
          </w:p>
        </w:tc>
        <w:tc>
          <w:tcPr>
            <w:tcW w:type="dxa" w:w="4241"/>
            <w:shd w:fill="2D3A1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Что подставляем</w:t>
            </w:r>
          </w:p>
        </w:tc>
        <w:tc>
          <w:tcPr>
            <w:tcW w:type="dxa" w:w="3469"/>
            <w:shd w:fill="2D3A1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Результат</w:t>
            </w:r>
          </w:p>
        </w:tc>
      </w:tr>
      <w:tr>
        <w:trPr>
          <w:cantSplit/>
          <w:tblHeader w:val="false"/>
        </w:trPr>
        <w:tc>
          <w:tcPr>
            <w:tcW w:type="dxa" w:w="1928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Magnet</w:t>
            </w:r>
          </w:p>
        </w:tc>
        <w:tc>
          <w:tcPr>
            <w:tcW w:type="dxa" w:w="4241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Существующая позиция, компания с историей</w:t>
            </w:r>
          </w:p>
        </w:tc>
        <w:tc>
          <w:tcPr>
            <w:tcW w:type="dxa" w:w="3469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«Secondary Access»</w:t>
            </w:r>
          </w:p>
        </w:tc>
      </w:tr>
      <w:tr>
        <w:trPr>
          <w:cantSplit/>
          <w:tblHeader w:val="false"/>
        </w:trPr>
        <w:tc>
          <w:tcPr>
            <w:tcW w:type="dxa" w:w="1928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Avatar</w:t>
            </w:r>
          </w:p>
        </w:tc>
        <w:tc>
          <w:tcPr>
            <w:tcW w:type="dxa" w:w="4241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Покупатели: FO, HNWI, инвестструктуры. Продавцы: ранние инвесторы, фонды, фаундеры, сотрудники</w:t>
            </w:r>
          </w:p>
        </w:tc>
        <w:tc>
          <w:tcPr>
            <w:tcW w:type="dxa" w:w="3469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двусторонний продукт</w:t>
            </w:r>
          </w:p>
        </w:tc>
      </w:tr>
      <w:tr>
        <w:trPr>
          <w:cantSplit/>
          <w:tblHeader w:val="false"/>
        </w:trPr>
        <w:tc>
          <w:tcPr>
            <w:tcW w:type="dxa" w:w="1928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Goal</w:t>
            </w:r>
          </w:p>
        </w:tc>
        <w:tc>
          <w:tcPr>
            <w:tcW w:type="dxa" w:w="4241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Покупатель: вход в de-risked компанию. Продавец: ликвидность</w:t>
            </w:r>
          </w:p>
        </w:tc>
        <w:tc>
          <w:tcPr>
            <w:tcW w:type="dxa" w:w="3469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«liquidity for holders, entry for buyers»</w:t>
            </w:r>
          </w:p>
        </w:tc>
      </w:tr>
      <w:tr>
        <w:trPr>
          <w:cantSplit/>
          <w:tblHeader w:val="false"/>
        </w:trPr>
        <w:tc>
          <w:tcPr>
            <w:tcW w:type="dxa" w:w="1928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Interval</w:t>
            </w:r>
          </w:p>
        </w:tc>
        <w:tc>
          <w:tcPr>
            <w:tcW w:type="dxa" w:w="4241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Per deal; закрытие обычно быстрее, чем primary — раунд собирать не нужно</w:t>
            </w:r>
          </w:p>
        </w:tc>
        <w:tc>
          <w:tcPr>
            <w:tcW w:type="dxa" w:w="3469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«per position»</w:t>
            </w:r>
          </w:p>
        </w:tc>
      </w:tr>
      <w:tr>
        <w:trPr>
          <w:cantSplit/>
          <w:tblHeader w:val="false"/>
        </w:trPr>
        <w:tc>
          <w:tcPr>
            <w:tcW w:type="dxa" w:w="1928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Container</w:t>
            </w:r>
          </w:p>
        </w:tc>
        <w:tc>
          <w:tcPr>
            <w:tcW w:type="dxa" w:w="4241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Покупка доли / SPV через лицензированного партнёра</w:t>
            </w:r>
          </w:p>
        </w:tc>
        <w:tc>
          <w:tcPr>
            <w:tcW w:type="dxa" w:w="3469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«Cyprus Valley Secondary Desk»</w:t>
            </w:r>
          </w:p>
        </w:tc>
      </w:tr>
    </w:tbl>
    <w:p>
      <w:pPr>
        <w:spacing w:after="120"/>
      </w:pPr>
    </w:p>
    <w:p>
      <w:pPr>
        <w:spacing w:after="120" w:line="300"/>
      </w:pPr>
      <w:r>
        <w:rPr>
          <w:rFonts w:ascii="Arial" w:cs="Arial" w:eastAsia="Arial" w:hAnsi="Arial"/>
          <w:b/>
          <w:bCs/>
        </w:rPr>
        <w:t xml:space="preserve">Почему отдельно от Product 4.</w:t>
      </w:r>
      <w:r>
        <w:rPr>
          <w:rFonts w:ascii="Arial" w:cs="Arial" w:eastAsia="Arial" w:hAnsi="Arial"/>
        </w:rPr>
        <w:t xml:space="preserve"> Private Deals — это новые деньги в компанию (primary). Secondary — покупка существующей доли у текущего держателя, деньги идут продавцу, а не компании. Разные продавцы, разные риски, разные покупатели и разная скорость. Смешивать их в одном питче — терять обоих.</w:t>
      </w:r>
    </w:p>
    <w:p>
      <w:pPr>
        <w:pStyle w:val="Heading1"/>
        <w:spacing w:after="160" w:before="360"/>
      </w:pPr>
      <w:r>
        <w:rPr>
          <w:rFonts w:ascii="Arial" w:cs="Arial" w:eastAsia="Arial" w:hAnsi="Arial"/>
        </w:rPr>
        <w:t xml:space="preserve">1. Как устроен продукт — две стороны и источники</w:t>
      </w:r>
    </w:p>
    <w:tbl>
      <w:tblPr>
        <w:tblW w:type="dxa" w:w="9638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</w:tblPr>
      <w:tblGrid>
        <w:gridCol w:w="1928"/>
        <w:gridCol w:w="4241"/>
        <w:gridCol w:w="3469"/>
      </w:tblGrid>
      <w:tr>
        <w:trPr>
          <w:cantSplit/>
          <w:tblHeader/>
        </w:trPr>
        <w:tc>
          <w:tcPr>
            <w:tcW w:type="dxa" w:w="1928"/>
            <w:shd w:fill="2D3A1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Сторона</w:t>
            </w:r>
          </w:p>
        </w:tc>
        <w:tc>
          <w:tcPr>
            <w:tcW w:type="dxa" w:w="4241"/>
            <w:shd w:fill="2D3A1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Кто</w:t>
            </w:r>
          </w:p>
        </w:tc>
        <w:tc>
          <w:tcPr>
            <w:tcW w:type="dxa" w:w="3469"/>
            <w:shd w:fill="2D3A1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Что получает</w:t>
            </w:r>
          </w:p>
        </w:tc>
      </w:tr>
      <w:tr>
        <w:trPr>
          <w:cantSplit/>
          <w:tblHeader w:val="false"/>
        </w:trPr>
        <w:tc>
          <w:tcPr>
            <w:tcW w:type="dxa" w:w="1928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Продавец (supply)</w:t>
            </w:r>
          </w:p>
        </w:tc>
        <w:tc>
          <w:tcPr>
            <w:tcW w:type="dxa" w:w="4241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Ранние ангелы; фонды на конце срока жизни или вне мандата; фаундеры и ранние сотрудники (частичная продажа); LP, которым нужна ликвидность</w:t>
            </w:r>
          </w:p>
        </w:tc>
        <w:tc>
          <w:tcPr>
            <w:tcW w:type="dxa" w:w="3469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Выход из позиции без ожидания exit; конфиденциальность; понятный покупатель</w:t>
            </w:r>
          </w:p>
        </w:tc>
      </w:tr>
      <w:tr>
        <w:trPr>
          <w:cantSplit/>
          <w:tblHeader w:val="false"/>
        </w:trPr>
        <w:tc>
          <w:tcPr>
            <w:tcW w:type="dxa" w:w="1928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Покупатель (demand)</w:t>
            </w:r>
          </w:p>
        </w:tc>
        <w:tc>
          <w:tcPr>
            <w:tcW w:type="dxa" w:w="4241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Family offices, HNWI, инвестструктуры, фонды с late-stage мандатом; инвесторы Product 4</w:t>
            </w:r>
          </w:p>
        </w:tc>
        <w:tc>
          <w:tcPr>
            <w:tcW w:type="dxa" w:w="3469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Вход в компанию с траекцией и историей раундов; часто — по цене ниже последнего раунда; короче горизонт до exit</w:t>
            </w:r>
          </w:p>
        </w:tc>
      </w:tr>
    </w:tbl>
    <w:p>
      <w:pPr>
        <w:spacing w:after="120"/>
      </w:pPr>
    </w:p>
    <w:p>
      <w:pPr>
        <w:pStyle w:val="Heading2"/>
        <w:spacing w:after="120" w:before="240"/>
      </w:pPr>
      <w:r>
        <w:rPr>
          <w:rFonts w:ascii="Arial" w:cs="Arial" w:eastAsia="Arial" w:hAnsi="Arial"/>
        </w:rPr>
        <w:t xml:space="preserve">Источники secondary deal flow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rial" w:cs="Arial" w:eastAsia="Arial" w:hAnsi="Arial"/>
          <w:b/>
          <w:bCs/>
        </w:rPr>
        <w:t xml:space="preserve">Network VC</w:t>
      </w:r>
      <w:r>
        <w:rPr>
          <w:rFonts w:ascii="Arial" w:cs="Arial" w:eastAsia="Arial" w:hAnsi="Arial"/>
        </w:rPr>
        <w:t xml:space="preserve"> — 112 портфельных компаний; позиции LP и фонда, которые могут ротироваться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rial" w:cs="Arial" w:eastAsia="Arial" w:hAnsi="Arial"/>
          <w:b/>
          <w:bCs/>
        </w:rPr>
        <w:t xml:space="preserve">Андрей (Network VC / VC.HOUSE)</w:t>
      </w:r>
      <w:r>
        <w:rPr>
          <w:rFonts w:ascii="Arial" w:cs="Arial" w:eastAsia="Arial" w:hAnsi="Arial"/>
        </w:rPr>
        <w:t xml:space="preserve"> — личная сеть фондов и family offices, 57 стран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rial" w:cs="Arial" w:eastAsia="Arial" w:hAnsi="Arial"/>
          <w:b/>
          <w:bCs/>
        </w:rPr>
        <w:t xml:space="preserve">Партнёрские фонды и VC</w:t>
      </w:r>
      <w:r>
        <w:rPr>
          <w:rFonts w:ascii="Arial" w:cs="Arial" w:eastAsia="Arial" w:hAnsi="Arial"/>
        </w:rPr>
        <w:t xml:space="preserve"> — прямые secondary + модель mandate overflow (ниже)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rial" w:cs="Arial" w:eastAsia="Arial" w:hAnsi="Arial"/>
          <w:b/>
          <w:bCs/>
        </w:rPr>
        <w:t xml:space="preserve">Family offices и инвестиционные структуры</w:t>
      </w:r>
      <w:r>
        <w:rPr>
          <w:rFonts w:ascii="Arial" w:cs="Arial" w:eastAsia="Arial" w:hAnsi="Arial"/>
        </w:rPr>
        <w:t xml:space="preserve"> — ребалансировка портфелей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rial" w:cs="Arial" w:eastAsia="Arial" w:hAnsi="Arial"/>
          <w:b/>
          <w:bCs/>
        </w:rPr>
        <w:t xml:space="preserve">Собственный контур CV</w:t>
      </w:r>
      <w:r>
        <w:rPr>
          <w:rFonts w:ascii="Arial" w:cs="Arial" w:eastAsia="Arial" w:hAnsi="Arial"/>
        </w:rPr>
        <w:t xml:space="preserve"> — Accelerator, портфель, инвесторы Product 4, участники Davos Deal Room</w:t>
      </w:r>
    </w:p>
    <w:p>
      <w:pPr>
        <w:pStyle w:val="Heading2"/>
        <w:spacing w:after="120" w:before="240"/>
      </w:pPr>
      <w:r>
        <w:rPr>
          <w:rFonts w:ascii="Arial" w:cs="Arial" w:eastAsia="Arial" w:hAnsi="Arial"/>
        </w:rPr>
        <w:t xml:space="preserve">Модель Mandate Overflow — ключевая идея</w:t>
      </w:r>
    </w:p>
    <w:p>
      <w:pPr>
        <w:spacing w:after="120" w:line="300"/>
      </w:pPr>
      <w:r>
        <w:rPr>
          <w:rFonts w:ascii="Arial" w:cs="Arial" w:eastAsia="Arial" w:hAnsi="Arial"/>
        </w:rPr>
        <w:t xml:space="preserve">Каждый фонд смотрит только на определённый класс сделок: стадия, чек, сектор, география. Хорошие компании, не попавшие в мандат, фонд сейчас просто теряет. Договорённость: </w:t>
      </w:r>
      <w:r>
        <w:rPr>
          <w:rFonts w:ascii="Arial" w:cs="Arial" w:eastAsia="Arial" w:hAnsi="Arial"/>
          <w:b/>
          <w:bCs/>
        </w:rPr>
        <w:t xml:space="preserve">то, что не проходит мандат фонда, передаётся в pipeline Cyprus Valley.</w:t>
      </w:r>
    </w:p>
    <w:tbl>
      <w:tblPr>
        <w:tblW w:type="dxa" w:w="9638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</w:tblPr>
      <w:tblGrid>
        <w:gridCol w:w="3277"/>
        <w:gridCol w:w="3181"/>
        <w:gridCol w:w="3180"/>
      </w:tblGrid>
      <w:tr>
        <w:trPr>
          <w:cantSplit/>
          <w:tblHeader/>
        </w:trPr>
        <w:tc>
          <w:tcPr>
            <w:tcW w:type="dxa" w:w="3277"/>
            <w:shd w:fill="2D3A1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Что получает фонд</w:t>
            </w:r>
          </w:p>
        </w:tc>
        <w:tc>
          <w:tcPr>
            <w:tcW w:type="dxa" w:w="3181"/>
            <w:shd w:fill="2D3A1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Что получает CV</w:t>
            </w:r>
          </w:p>
        </w:tc>
        <w:tc>
          <w:tcPr>
            <w:tcW w:type="dxa" w:w="3180"/>
            <w:shd w:fill="2D3A1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Что получает компания</w:t>
            </w:r>
          </w:p>
        </w:tc>
      </w:tr>
      <w:tr>
        <w:trPr>
          <w:cantSplit/>
          <w:tblHeader w:val="false"/>
        </w:trPr>
        <w:tc>
          <w:tcPr>
            <w:tcW w:type="dxa" w:w="3277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теряет отношения с хорошей командой; репутация «мы помогли, даже если не инвестировали»; возможный referral-интерес [условия — уточнить]; обратный поток сделок от CV под его мандат</w:t>
            </w:r>
          </w:p>
        </w:tc>
        <w:tc>
          <w:tcPr>
            <w:tcW w:type="dxa" w:w="3181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Проверенный фондом deal flow (первичный скрининг уже сделан); расширение сети фондов-партнёров; рост числа качественных компаний и инвестиционных возможностей</w:t>
            </w:r>
          </w:p>
        </w:tc>
        <w:tc>
          <w:tcPr>
            <w:tcW w:type="dxa" w:w="318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Не получает «нет» в тупик, а получает маршрут: primary через Product 4, secondary для ранних держателей, Accelerator, Davos</w:t>
            </w:r>
          </w:p>
        </w:tc>
      </w:tr>
    </w:tbl>
    <w:p>
      <w:pPr>
        <w:spacing w:after="120"/>
      </w:pPr>
    </w:p>
    <w:p>
      <w:pPr>
        <w:spacing w:after="120" w:line="300"/>
      </w:pPr>
      <w:r>
        <w:rPr>
          <w:rFonts w:ascii="Arial" w:cs="Arial" w:eastAsia="Arial" w:hAnsi="Arial"/>
          <w:b/>
          <w:bCs/>
        </w:rPr>
        <w:t xml:space="preserve">Маховик:</w:t>
      </w:r>
      <w:r>
        <w:rPr>
          <w:rFonts w:ascii="Arial" w:cs="Arial" w:eastAsia="Arial" w:hAnsi="Arial"/>
        </w:rPr>
        <w:t xml:space="preserve"> договорённости с фондами → больше deal flow → больше качественных компаний → больше инвестиционных возможностей (primary + secondary) → больше инвесторов в сети CV → CV интереснее фондам как партнёр → больше договорённостей. Каждый оборот повышает ценность обоих инвестиционных продуктов.</w:t>
      </w:r>
    </w:p>
    <w:p>
      <w:pPr>
        <w:spacing w:after="120"/>
      </w:pPr>
      <w:r>
        <w:rPr>
          <w:rFonts w:ascii="Arial" w:cs="Arial" w:eastAsia="Arial" w:hAnsi="Arial"/>
          <w:i/>
          <w:iCs/>
          <w:color w:val="595959"/>
          <w:sz w:val="18"/>
          <w:szCs w:val="18"/>
        </w:rPr>
        <w:t xml:space="preserve">Формат договорённости с фондом: письмо о намерениях / referral agreement с условиями передачи, конфиденциальностью и возможным вознаграждением. Юридическую форму согласовать с лицензированным партнёром до первых передач.</w:t>
      </w:r>
    </w:p>
    <w:p>
      <w:pPr>
        <w:pStyle w:val="Heading1"/>
        <w:spacing w:after="160" w:before="360"/>
      </w:pPr>
      <w:r>
        <w:rPr>
          <w:rFonts w:ascii="Arial" w:cs="Arial" w:eastAsia="Arial" w:hAnsi="Arial"/>
        </w:rPr>
        <w:t xml:space="preserve">2. ЦА и маршрутизация</w:t>
      </w:r>
    </w:p>
    <w:tbl>
      <w:tblPr>
        <w:tblW w:type="dxa" w:w="9638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</w:tblPr>
      <w:tblGrid>
        <w:gridCol w:w="2699"/>
        <w:gridCol w:w="3470"/>
        <w:gridCol w:w="3469"/>
      </w:tblGrid>
      <w:tr>
        <w:trPr>
          <w:cantSplit/>
          <w:tblHeader/>
        </w:trPr>
        <w:tc>
          <w:tcPr>
            <w:tcW w:type="dxa" w:w="2699"/>
            <w:shd w:fill="2D3A1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Сегмент</w:t>
            </w:r>
          </w:p>
        </w:tc>
        <w:tc>
          <w:tcPr>
            <w:tcW w:type="dxa" w:w="3470"/>
            <w:shd w:fill="2D3A1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Сигнал</w:t>
            </w:r>
          </w:p>
        </w:tc>
        <w:tc>
          <w:tcPr>
            <w:tcW w:type="dxa" w:w="3469"/>
            <w:shd w:fill="2D3A1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Куда маршрутизировать</w:t>
            </w:r>
          </w:p>
        </w:tc>
      </w:tr>
      <w:tr>
        <w:trPr>
          <w:cantSplit/>
          <w:tblHeader w:val="false"/>
        </w:trPr>
        <w:tc>
          <w:tcPr>
            <w:tcW w:type="dxa" w:w="2699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Family office / HNWI — покупатель</w:t>
            </w:r>
          </w:p>
        </w:tc>
        <w:tc>
          <w:tcPr>
            <w:tcW w:type="dxa" w:w="347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«Ранняя стадия — слишком рискованно, но в фонд на 10 лет не хочу»</w:t>
            </w:r>
          </w:p>
        </w:tc>
        <w:tc>
          <w:tcPr>
            <w:tcW w:type="dxa" w:w="3469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Secondary Access: тезис → подбор позиций → вход через партнёра</w:t>
            </w:r>
          </w:p>
        </w:tc>
      </w:tr>
      <w:tr>
        <w:trPr>
          <w:cantSplit/>
          <w:tblHeader w:val="false"/>
        </w:trPr>
        <w:tc>
          <w:tcPr>
            <w:tcW w:type="dxa" w:w="2699"/>
            <w:shd w:fill="F7F8F4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Инвестор Product 4</w:t>
            </w:r>
          </w:p>
        </w:tc>
        <w:tc>
          <w:tcPr>
            <w:tcW w:type="dxa" w:w="3470"/>
            <w:shd w:fill="F7F8F4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Уже в контуре, хочет диверсифицировать по стадиям</w:t>
            </w:r>
          </w:p>
        </w:tc>
        <w:tc>
          <w:tcPr>
            <w:tcW w:type="dxa" w:w="3469"/>
            <w:shd w:fill="F7F8F4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Приоритетный доступ к secondary по тем же / смежным компаниям</w:t>
            </w:r>
          </w:p>
        </w:tc>
      </w:tr>
      <w:tr>
        <w:trPr>
          <w:cantSplit/>
          <w:tblHeader w:val="false"/>
        </w:trPr>
        <w:tc>
          <w:tcPr>
            <w:tcW w:type="dxa" w:w="2699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Фонд с late-stage мандатом</w:t>
            </w:r>
          </w:p>
        </w:tc>
        <w:tc>
          <w:tcPr>
            <w:tcW w:type="dxa" w:w="347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Ищет вход в компании, которые пропустил на seed</w:t>
            </w:r>
          </w:p>
        </w:tc>
        <w:tc>
          <w:tcPr>
            <w:tcW w:type="dxa" w:w="3469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Secondary + обмен deal flow (mandate overflow в обе стороны)</w:t>
            </w:r>
          </w:p>
        </w:tc>
      </w:tr>
      <w:tr>
        <w:trPr>
          <w:cantSplit/>
          <w:tblHeader w:val="false"/>
        </w:trPr>
        <w:tc>
          <w:tcPr>
            <w:tcW w:type="dxa" w:w="2699"/>
            <w:shd w:fill="F7F8F4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Ранний ангел / фонд — продавец</w:t>
            </w:r>
          </w:p>
        </w:tc>
        <w:tc>
          <w:tcPr>
            <w:tcW w:type="dxa" w:w="3470"/>
            <w:shd w:fill="F7F8F4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«Хочу зафиксировать часть, не дожидаясь exit»</w:t>
            </w:r>
          </w:p>
        </w:tc>
        <w:tc>
          <w:tcPr>
            <w:tcW w:type="dxa" w:w="3469"/>
            <w:shd w:fill="F7F8F4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Secondary Desk: оценка спроса → конфиденциальный процесс</w:t>
            </w:r>
          </w:p>
        </w:tc>
      </w:tr>
      <w:tr>
        <w:trPr>
          <w:cantSplit/>
          <w:tblHeader w:val="false"/>
        </w:trPr>
        <w:tc>
          <w:tcPr>
            <w:tcW w:type="dxa" w:w="2699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Фаундер / ранние сотрудники</w:t>
            </w:r>
          </w:p>
        </w:tc>
        <w:tc>
          <w:tcPr>
            <w:tcW w:type="dxa" w:w="347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Частичная продажа для личной ликвидности при согласии компании</w:t>
            </w:r>
          </w:p>
        </w:tc>
        <w:tc>
          <w:tcPr>
            <w:tcW w:type="dxa" w:w="3469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Secondary Desk; координация с компанией и её инвесторами</w:t>
            </w:r>
          </w:p>
        </w:tc>
      </w:tr>
      <w:tr>
        <w:trPr>
          <w:cantSplit/>
          <w:tblHeader w:val="false"/>
        </w:trPr>
        <w:tc>
          <w:tcPr>
            <w:tcW w:type="dxa" w:w="2699"/>
            <w:shd w:fill="F7F8F4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Фонд-партнёр (источник)</w:t>
            </w:r>
          </w:p>
        </w:tc>
        <w:tc>
          <w:tcPr>
            <w:tcW w:type="dxa" w:w="3470"/>
            <w:shd w:fill="F7F8F4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Регулярно отказывает хорошим командам «не по мандату»</w:t>
            </w:r>
          </w:p>
        </w:tc>
        <w:tc>
          <w:tcPr>
            <w:tcW w:type="dxa" w:w="3469"/>
            <w:shd w:fill="F7F8F4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Mandate Overflow Agreement</w:t>
            </w:r>
          </w:p>
        </w:tc>
      </w:tr>
    </w:tbl>
    <w:p>
      <w:pPr>
        <w:spacing w:after="120"/>
      </w:pPr>
    </w:p>
    <w:p>
      <w:pPr>
        <w:spacing w:after="120" w:line="300"/>
      </w:pPr>
      <w:r>
        <w:rPr>
          <w:rFonts w:ascii="Arial" w:cs="Arial" w:eastAsia="Arial" w:hAnsi="Arial"/>
          <w:b/>
          <w:bCs/>
        </w:rPr>
        <w:t xml:space="preserve">Сигналы хорошего покупателя:</w:t>
      </w:r>
      <w:r>
        <w:rPr>
          <w:rFonts w:ascii="Arial" w:cs="Arial" w:eastAsia="Arial" w:hAnsi="Arial"/>
        </w:rPr>
        <w:t xml:space="preserve"> говорит о стадии и горизонте, а не о «дисконте»; готов к NDA и KYC; понимает, что ROFR и согласие компании — часть процесса. </w:t>
      </w:r>
      <w:r>
        <w:rPr>
          <w:rFonts w:ascii="Arial" w:cs="Arial" w:eastAsia="Arial" w:hAnsi="Arial"/>
          <w:b/>
          <w:bCs/>
        </w:rPr>
        <w:t xml:space="preserve">Плохой:</w:t>
      </w:r>
      <w:r>
        <w:rPr>
          <w:rFonts w:ascii="Arial" w:cs="Arial" w:eastAsia="Arial" w:hAnsi="Arial"/>
        </w:rPr>
        <w:t xml:space="preserve"> хочет «купить дёшево с рук», ждёт гарантированный дисконт, чек ниже порога партнёра.</w:t>
      </w:r>
    </w:p>
    <w:p>
      <w:pPr>
        <w:pStyle w:val="Heading1"/>
        <w:spacing w:after="160" w:before="360"/>
      </w:pPr>
      <w:r>
        <w:rPr>
          <w:rFonts w:ascii="Arial" w:cs="Arial" w:eastAsia="Arial" w:hAnsi="Arial"/>
        </w:rPr>
        <w:t xml:space="preserve">3. Проблема → решение</w:t>
      </w:r>
    </w:p>
    <w:tbl>
      <w:tblPr>
        <w:tblW w:type="dxa" w:w="9638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</w:tblPr>
      <w:tblGrid>
        <w:gridCol w:w="4241"/>
        <w:gridCol w:w="5397"/>
      </w:tblGrid>
      <w:tr>
        <w:trPr>
          <w:cantSplit/>
          <w:tblHeader/>
        </w:trPr>
        <w:tc>
          <w:tcPr>
            <w:tcW w:type="dxa" w:w="4241"/>
            <w:shd w:fill="2D3A1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Проблема</w:t>
            </w:r>
          </w:p>
        </w:tc>
        <w:tc>
          <w:tcPr>
            <w:tcW w:type="dxa" w:w="5397"/>
            <w:shd w:fill="2D3A1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Элемент оффера</w:t>
            </w:r>
          </w:p>
        </w:tc>
      </w:tr>
      <w:tr>
        <w:trPr>
          <w:cantSplit/>
          <w:tblHeader w:val="false"/>
        </w:trPr>
        <w:tc>
          <w:tcPr>
            <w:tcW w:type="dxa" w:w="4241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Покупатель: «Seed — лотерея, а в growth-компании меня не пускают»</w:t>
            </w:r>
          </w:p>
        </w:tc>
        <w:tc>
          <w:tcPr>
            <w:tcW w:type="dxa" w:w="5397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Вход в существующие позиции компаний с историей раундов, метриками и институциональными инвесторами</w:t>
            </w:r>
          </w:p>
        </w:tc>
      </w:tr>
      <w:tr>
        <w:trPr>
          <w:cantSplit/>
          <w:tblHeader w:val="false"/>
        </w:trPr>
        <w:tc>
          <w:tcPr>
            <w:tcW w:type="dxa" w:w="4241"/>
            <w:shd w:fill="F7F8F4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Покупатель: «Не знаю, где искать secondary — рынок непрозрачный»</w:t>
            </w:r>
          </w:p>
        </w:tc>
        <w:tc>
          <w:tcPr>
            <w:tcW w:type="dxa" w:w="5397"/>
            <w:shd w:fill="F7F8F4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Систематический sourcing: Network VC, партнёрские фонды, family offices, mandate overflow</w:t>
            </w:r>
          </w:p>
        </w:tc>
      </w:tr>
      <w:tr>
        <w:trPr>
          <w:cantSplit/>
          <w:tblHeader w:val="false"/>
        </w:trPr>
        <w:tc>
          <w:tcPr>
            <w:tcW w:type="dxa" w:w="4241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Покупатель: «Ценообразование — гадание»</w:t>
            </w:r>
          </w:p>
        </w:tc>
        <w:tc>
          <w:tcPr>
            <w:tcW w:type="dxa" w:w="5397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Бриф с последним раундом, компараблами и обоснованием цены (премия / дисконт)</w:t>
            </w:r>
          </w:p>
        </w:tc>
      </w:tr>
      <w:tr>
        <w:trPr>
          <w:cantSplit/>
          <w:tblHeader w:val="false"/>
        </w:trPr>
        <w:tc>
          <w:tcPr>
            <w:tcW w:type="dxa" w:w="4241"/>
            <w:shd w:fill="F7F8F4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Продавец: «Ждать exit ещё 5 лет, а деньги нужны сейчас»</w:t>
            </w:r>
          </w:p>
        </w:tc>
        <w:tc>
          <w:tcPr>
            <w:tcW w:type="dxa" w:w="5397"/>
            <w:shd w:fill="F7F8F4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Конфиденциальный процесс продажи доли квалифицированному покупателю</w:t>
            </w:r>
          </w:p>
        </w:tc>
      </w:tr>
      <w:tr>
        <w:trPr>
          <w:cantSplit/>
          <w:tblHeader w:val="false"/>
        </w:trPr>
        <w:tc>
          <w:tcPr>
            <w:tcW w:type="dxa" w:w="4241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Продавец: «Не хочу, чтобы рынок знал, что я выхожу»</w:t>
            </w:r>
          </w:p>
        </w:tc>
        <w:tc>
          <w:tcPr>
            <w:tcW w:type="dxa" w:w="5397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Закрытый формат; никаких публичных объявлений; покупатель — из проверенной сети</w:t>
            </w:r>
          </w:p>
        </w:tc>
      </w:tr>
      <w:tr>
        <w:trPr>
          <w:cantSplit/>
          <w:tblHeader w:val="false"/>
        </w:trPr>
        <w:tc>
          <w:tcPr>
            <w:tcW w:type="dxa" w:w="4241"/>
            <w:shd w:fill="F7F8F4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Обе стороны: «Передача доли — ROFR, согласие компании, документы»</w:t>
            </w:r>
          </w:p>
        </w:tc>
        <w:tc>
          <w:tcPr>
            <w:tcW w:type="dxa" w:w="5397"/>
            <w:shd w:fill="F7F8F4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Координация с компанией и её инвесторами; транзакция и KYC — через лицензированного партнёра; при необходимости — SPV</w:t>
            </w:r>
          </w:p>
        </w:tc>
      </w:tr>
      <w:tr>
        <w:trPr>
          <w:cantSplit/>
          <w:tblHeader w:val="false"/>
        </w:trPr>
        <w:tc>
          <w:tcPr>
            <w:tcW w:type="dxa" w:w="4241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Фонд: «Отказываем хорошим командам и теряем отношения»</w:t>
            </w:r>
          </w:p>
        </w:tc>
        <w:tc>
          <w:tcPr>
            <w:tcW w:type="dxa" w:w="5397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Mandate Overflow: маршрут для компаний вне мандата вместо «нет»</w:t>
            </w:r>
          </w:p>
        </w:tc>
      </w:tr>
    </w:tbl>
    <w:p>
      <w:pPr>
        <w:pStyle w:val="Heading1"/>
        <w:spacing w:after="160" w:before="360"/>
      </w:pPr>
      <w:r>
        <w:rPr>
          <w:rFonts w:ascii="Arial" w:cs="Arial" w:eastAsia="Arial" w:hAnsi="Arial"/>
        </w:rPr>
        <w:t xml:space="preserve">4. Уравнение ценности (Value Equation)</w:t>
      </w:r>
    </w:p>
    <w:tbl>
      <w:tblPr>
        <w:tblW w:type="dxa" w:w="9638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</w:tblPr>
      <w:tblGrid>
        <w:gridCol w:w="1928"/>
        <w:gridCol w:w="4048"/>
        <w:gridCol w:w="3662"/>
      </w:tblGrid>
      <w:tr>
        <w:trPr>
          <w:cantSplit/>
          <w:tblHeader/>
        </w:trPr>
        <w:tc>
          <w:tcPr>
            <w:tcW w:type="dxa" w:w="1928"/>
            <w:shd w:fill="2D3A1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Переменная</w:t>
            </w:r>
          </w:p>
        </w:tc>
        <w:tc>
          <w:tcPr>
            <w:tcW w:type="dxa" w:w="4048"/>
            <w:shd w:fill="2D3A1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Что делает продукт</w:t>
            </w:r>
          </w:p>
        </w:tc>
        <w:tc>
          <w:tcPr>
            <w:tcW w:type="dxa" w:w="3662"/>
            <w:shd w:fill="2D3A1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Фраза для звонка</w:t>
            </w:r>
          </w:p>
        </w:tc>
      </w:tr>
      <w:tr>
        <w:trPr>
          <w:cantSplit/>
          <w:tblHeader w:val="false"/>
        </w:trPr>
        <w:tc>
          <w:tcPr>
            <w:tcW w:type="dxa" w:w="1928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Dream Outcome ↑</w:t>
            </w:r>
          </w:p>
        </w:tc>
        <w:tc>
          <w:tcPr>
            <w:tcW w:type="dxa" w:w="4048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Покупатель: позиция в компании, которая уже доказала себя, с более коротким горизонтом до exit. Продавец: ликвидность сейчас</w:t>
            </w:r>
          </w:p>
        </w:tc>
        <w:tc>
          <w:tcPr>
            <w:tcW w:type="dxa" w:w="3662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«Вы входите туда, где ранний риск уже взяли на себя другие — и часто по цене, которая это учитывает»</w:t>
            </w:r>
          </w:p>
        </w:tc>
      </w:tr>
      <w:tr>
        <w:trPr>
          <w:cantSplit/>
          <w:tblHeader w:val="false"/>
        </w:trPr>
        <w:tc>
          <w:tcPr>
            <w:tcW w:type="dxa" w:w="1928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Perceived Likelihood ↑</w:t>
            </w:r>
          </w:p>
        </w:tc>
        <w:tc>
          <w:tcPr>
            <w:tcW w:type="dxa" w:w="4048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Компания существует, есть данные, раунды, инвесторы. Sourcing через фонды, которые уже сделали первичный отбор</w:t>
            </w:r>
          </w:p>
        </w:tc>
        <w:tc>
          <w:tcPr>
            <w:tcW w:type="dxa" w:w="3662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«Это не прогноз про будущее компании. Это её история: раунды, метрики, кто уже внутри»</w:t>
            </w:r>
          </w:p>
        </w:tc>
      </w:tr>
      <w:tr>
        <w:trPr>
          <w:cantSplit/>
          <w:tblHeader w:val="false"/>
        </w:trPr>
        <w:tc>
          <w:tcPr>
            <w:tcW w:type="dxa" w:w="1928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Time Delay ↓</w:t>
            </w:r>
          </w:p>
        </w:tc>
        <w:tc>
          <w:tcPr>
            <w:tcW w:type="dxa" w:w="4048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Не нужно собирать раунд: одна позиция, один продавец, один покупатель. Ограничение — ROFR и согласие компании (говорить честно)</w:t>
            </w:r>
          </w:p>
        </w:tc>
        <w:tc>
          <w:tcPr>
            <w:tcW w:type="dxa" w:w="3662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«Secondary закрывается быстрее primary: раунд собирать не нужно. Задержка — только на процедуры передачи доли»</w:t>
            </w:r>
          </w:p>
        </w:tc>
      </w:tr>
      <w:tr>
        <w:trPr>
          <w:cantSplit/>
          <w:tblHeader w:val="false"/>
        </w:trPr>
        <w:tc>
          <w:tcPr>
            <w:tcW w:type="dxa" w:w="1928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Effort &amp; Sacrifice ↓</w:t>
            </w:r>
          </w:p>
        </w:tc>
        <w:tc>
          <w:tcPr>
            <w:tcW w:type="dxa" w:w="4048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CV находит, оценивает, координирует с компанией; партнёр делает KYC и транзакцию</w:t>
            </w:r>
          </w:p>
        </w:tc>
        <w:tc>
          <w:tcPr>
            <w:tcW w:type="dxa" w:w="3662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«Вы не ищете продавца и не договариваетесь с советом директоров. Это наша работа»</w:t>
            </w:r>
          </w:p>
        </w:tc>
      </w:tr>
    </w:tbl>
    <w:p>
      <w:pPr>
        <w:pStyle w:val="Heading1"/>
        <w:spacing w:after="160" w:before="360"/>
      </w:pPr>
      <w:r>
        <w:rPr>
          <w:rFonts w:ascii="Arial" w:cs="Arial" w:eastAsia="Arial" w:hAnsi="Arial"/>
        </w:rPr>
        <w:t xml:space="preserve">5. Шесть смыслов — с готовыми фразами</w:t>
      </w:r>
    </w:p>
    <w:p>
      <w:pPr>
        <w:spacing w:after="120" w:line="300"/>
      </w:pPr>
      <w:r>
        <w:rPr>
          <w:rFonts w:ascii="Arial" w:cs="Arial" w:eastAsia="Arial" w:hAnsi="Arial"/>
        </w:rPr>
        <w:t xml:space="preserve">Ведущие: </w:t>
      </w:r>
      <w:r>
        <w:rPr>
          <w:rFonts w:ascii="Arial" w:cs="Arial" w:eastAsia="Arial" w:hAnsi="Arial"/>
          <w:b/>
          <w:bCs/>
        </w:rPr>
        <w:t xml:space="preserve">Надёжность → Экономия → Новизна</w:t>
      </w:r>
      <w:r>
        <w:rPr>
          <w:rFonts w:ascii="Arial" w:cs="Arial" w:eastAsia="Arial" w:hAnsi="Arial"/>
        </w:rPr>
        <w:t xml:space="preserve">. Престиж, Безопасность и Комфорт — поддерживающие.</w:t>
      </w:r>
    </w:p>
    <w:tbl>
      <w:tblPr>
        <w:tblW w:type="dxa" w:w="9638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</w:tblPr>
      <w:tblGrid>
        <w:gridCol w:w="1638"/>
        <w:gridCol w:w="3662"/>
        <w:gridCol w:w="4338"/>
      </w:tblGrid>
      <w:tr>
        <w:trPr>
          <w:cantSplit/>
          <w:tblHeader/>
        </w:trPr>
        <w:tc>
          <w:tcPr>
            <w:tcW w:type="dxa" w:w="1638"/>
            <w:shd w:fill="2D3A1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Смысл</w:t>
            </w:r>
          </w:p>
        </w:tc>
        <w:tc>
          <w:tcPr>
            <w:tcW w:type="dxa" w:w="3662"/>
            <w:shd w:fill="2D3A1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Суть</w:t>
            </w:r>
          </w:p>
        </w:tc>
        <w:tc>
          <w:tcPr>
            <w:tcW w:type="dxa" w:w="4338"/>
            <w:shd w:fill="2D3A1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Фраза для звонка</w:t>
            </w:r>
          </w:p>
        </w:tc>
      </w:tr>
      <w:tr>
        <w:trPr>
          <w:cantSplit/>
          <w:tblHeader w:val="false"/>
        </w:trPr>
        <w:tc>
          <w:tcPr>
            <w:tcW w:type="dxa" w:w="1638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Надёжность (ведущий)</w:t>
            </w:r>
          </w:p>
        </w:tc>
        <w:tc>
          <w:tcPr>
            <w:tcW w:type="dxa" w:w="3662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Компания с историей, институциональными инвесторами и данными; первичный отбор сделан фондом-источником</w:t>
            </w:r>
          </w:p>
        </w:tc>
        <w:tc>
          <w:tcPr>
            <w:tcW w:type="dxa" w:w="4338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«В secondary вы покупаете не идею, а компанию, которую уже проверили те, кто вошёл до вас»</w:t>
            </w:r>
          </w:p>
        </w:tc>
      </w:tr>
      <w:tr>
        <w:trPr>
          <w:cantSplit/>
          <w:tblHeader w:val="false"/>
        </w:trPr>
        <w:tc>
          <w:tcPr>
            <w:tcW w:type="dxa" w:w="1638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Экономия (ведущий)</w:t>
            </w:r>
          </w:p>
        </w:tc>
        <w:tc>
          <w:tcPr>
            <w:tcW w:type="dxa" w:w="3662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Часто — цена ниже последнего раунда; короче горизонт; не нужен 10-летний фонд</w:t>
            </w:r>
          </w:p>
        </w:tc>
        <w:tc>
          <w:tcPr>
            <w:tcW w:type="dxa" w:w="4338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«Вы не платите за 10 лет ожидания. Вы платите за позицию, которой уже 3–4 года»</w:t>
            </w:r>
          </w:p>
        </w:tc>
      </w:tr>
      <w:tr>
        <w:trPr>
          <w:cantSplit/>
          <w:tblHeader w:val="false"/>
        </w:trPr>
        <w:tc>
          <w:tcPr>
            <w:tcW w:type="dxa" w:w="1638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Новизна (ведущий)</w:t>
            </w:r>
          </w:p>
        </w:tc>
        <w:tc>
          <w:tcPr>
            <w:tcW w:type="dxa" w:w="3662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Организованного secondary-канала для частного капитала в Кипре и Средиземноморье нет; mandate overflow — новая модель партнёрства с фондами</w:t>
            </w:r>
          </w:p>
        </w:tc>
        <w:tc>
          <w:tcPr>
            <w:tcW w:type="dxa" w:w="4338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«Фонды каждую неделю говорят «нет» хорошим компаниям. Мы первые, кто сделал из этого «нет» маршрут»</w:t>
            </w:r>
          </w:p>
        </w:tc>
      </w:tr>
      <w:tr>
        <w:trPr>
          <w:cantSplit/>
          <w:tblHeader w:val="false"/>
        </w:trPr>
        <w:tc>
          <w:tcPr>
            <w:tcW w:type="dxa" w:w="1638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Престиж</w:t>
            </w:r>
          </w:p>
        </w:tc>
        <w:tc>
          <w:tcPr>
            <w:tcW w:type="dxa" w:w="3662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Доступ к позициям, которые продаются «между своими»</w:t>
            </w:r>
          </w:p>
        </w:tc>
        <w:tc>
          <w:tcPr>
            <w:tcW w:type="dxa" w:w="4338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«Такие доли не выставляют. Их предлагают тем, кто в сети»</w:t>
            </w:r>
          </w:p>
        </w:tc>
      </w:tr>
      <w:tr>
        <w:trPr>
          <w:cantSplit/>
          <w:tblHeader w:val="false"/>
        </w:trPr>
        <w:tc>
          <w:tcPr>
            <w:tcW w:type="dxa" w:w="1638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Безопасность</w:t>
            </w:r>
          </w:p>
        </w:tc>
        <w:tc>
          <w:tcPr>
            <w:tcW w:type="dxa" w:w="3662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Транзакция через лицензированного партнёра; ROFR и согласие компании соблюдаются; SPV при необходимости</w:t>
            </w:r>
          </w:p>
        </w:tc>
        <w:tc>
          <w:tcPr>
            <w:tcW w:type="dxa" w:w="4338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«Мы не обходим устав компании. Каждая передача — с её согласия и по её процедуре»</w:t>
            </w:r>
          </w:p>
        </w:tc>
      </w:tr>
      <w:tr>
        <w:trPr>
          <w:cantSplit/>
          <w:tblHeader w:val="false"/>
        </w:trPr>
        <w:tc>
          <w:tcPr>
            <w:tcW w:type="dxa" w:w="1638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Комфорт</w:t>
            </w:r>
          </w:p>
        </w:tc>
        <w:tc>
          <w:tcPr>
            <w:tcW w:type="dxa" w:w="3662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Один контакт, один бриф, один процесс — как в Product 4</w:t>
            </w:r>
          </w:p>
        </w:tc>
        <w:tc>
          <w:tcPr>
            <w:tcW w:type="dxa" w:w="4338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«Бриф, решение, партнёр. Остальное координируем мы»</w:t>
            </w:r>
          </w:p>
        </w:tc>
      </w:tr>
    </w:tbl>
    <w:p>
      <w:pPr>
        <w:pStyle w:val="Heading1"/>
        <w:spacing w:after="160" w:before="360"/>
      </w:pPr>
      <w:r>
        <w:rPr>
          <w:rFonts w:ascii="Arial" w:cs="Arial" w:eastAsia="Arial" w:hAnsi="Arial"/>
        </w:rPr>
        <w:t xml:space="preserve">6. Что входит — стек оффера</w:t>
      </w:r>
    </w:p>
    <w:p>
      <w:pPr>
        <w:pStyle w:val="Heading2"/>
        <w:spacing w:after="120" w:before="240"/>
      </w:pPr>
      <w:r>
        <w:rPr>
          <w:rFonts w:ascii="Arial" w:cs="Arial" w:eastAsia="Arial" w:hAnsi="Arial"/>
        </w:rPr>
        <w:t xml:space="preserve">Для покупателя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rial" w:cs="Arial" w:eastAsia="Arial" w:hAnsi="Arial"/>
        </w:rPr>
        <w:t xml:space="preserve">Квалификация, NDA и тезис (стадия, сектор, горизонт, чек)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rial" w:cs="Arial" w:eastAsia="Arial" w:hAnsi="Arial"/>
        </w:rPr>
        <w:t xml:space="preserve">Поток Secondary Brief по подходящим позициям (шаблон — раздел 7)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rial" w:cs="Arial" w:eastAsia="Arial" w:hAnsi="Arial"/>
        </w:rPr>
        <w:t xml:space="preserve">Координация с компанией и текущими инвесторами: ROFR, согласия, документы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rial" w:cs="Arial" w:eastAsia="Arial" w:hAnsi="Arial"/>
        </w:rPr>
        <w:t xml:space="preserve">Транзакция через лицензированного партнёра (Network VC / Startup Wise); SPV при необходимости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rial" w:cs="Arial" w:eastAsia="Arial" w:hAnsi="Arial"/>
          <w:b/>
          <w:bCs/>
        </w:rPr>
        <w:t xml:space="preserve">Бонус:</w:t>
      </w:r>
      <w:r>
        <w:rPr>
          <w:rFonts w:ascii="Arial" w:cs="Arial" w:eastAsia="Arial" w:hAnsi="Arial"/>
        </w:rPr>
        <w:t xml:space="preserve"> приоритетный доступ к primary по той же компании (Product 4), если открывается раунд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rial" w:cs="Arial" w:eastAsia="Arial" w:hAnsi="Arial"/>
          <w:b/>
          <w:bCs/>
        </w:rPr>
        <w:t xml:space="preserve">Бонус:</w:t>
      </w:r>
      <w:r>
        <w:rPr>
          <w:rFonts w:ascii="Arial" w:cs="Arial" w:eastAsia="Arial" w:hAnsi="Arial"/>
        </w:rPr>
        <w:t xml:space="preserve"> место в Davos Deal Room / Defence Dinner для активных покупателей (Product 3)</w:t>
      </w:r>
    </w:p>
    <w:p>
      <w:pPr>
        <w:pStyle w:val="Heading2"/>
        <w:spacing w:after="120" w:before="240"/>
      </w:pPr>
      <w:r>
        <w:rPr>
          <w:rFonts w:ascii="Arial" w:cs="Arial" w:eastAsia="Arial" w:hAnsi="Arial"/>
        </w:rPr>
        <w:t xml:space="preserve">Для продавца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rial" w:cs="Arial" w:eastAsia="Arial" w:hAnsi="Arial"/>
        </w:rPr>
        <w:t xml:space="preserve">Конфиденциальная оценка спроса до запуска процесса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rial" w:cs="Arial" w:eastAsia="Arial" w:hAnsi="Arial"/>
        </w:rPr>
        <w:t xml:space="preserve">Подбор 2–3 квалифицированных покупателей из сети CV — без публичного шума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rial" w:cs="Arial" w:eastAsia="Arial" w:hAnsi="Arial"/>
        </w:rPr>
        <w:t xml:space="preserve">Координация с компанией; сопровождение передачи через партнёра</w:t>
      </w:r>
    </w:p>
    <w:p>
      <w:pPr>
        <w:pStyle w:val="Heading2"/>
        <w:spacing w:after="120" w:before="240"/>
      </w:pPr>
      <w:r>
        <w:rPr>
          <w:rFonts w:ascii="Arial" w:cs="Arial" w:eastAsia="Arial" w:hAnsi="Arial"/>
        </w:rPr>
        <w:t xml:space="preserve">Для фонда-партнёра (Mandate Overflow)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rial" w:cs="Arial" w:eastAsia="Arial" w:hAnsi="Arial"/>
        </w:rPr>
        <w:t xml:space="preserve">Простой канал передачи: форма / письмо с базовым описанием компании и причиной отказа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rial" w:cs="Arial" w:eastAsia="Arial" w:hAnsi="Arial"/>
        </w:rPr>
        <w:t xml:space="preserve">Обратная связь по судьбе переданной компании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rial" w:cs="Arial" w:eastAsia="Arial" w:hAnsi="Arial"/>
        </w:rPr>
        <w:t xml:space="preserve">Обратный поток: сделки CV, подходящие под мандат фонда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rial" w:cs="Arial" w:eastAsia="Arial" w:hAnsi="Arial"/>
        </w:rPr>
        <w:t xml:space="preserve">Условия referral — [уточнить; согласовать с лицензированным партнёром]</w:t>
      </w:r>
    </w:p>
    <w:p>
      <w:pPr>
        <w:pStyle w:val="Heading1"/>
        <w:spacing w:after="160" w:before="360"/>
      </w:pPr>
      <w:r>
        <w:rPr>
          <w:rFonts w:ascii="Arial" w:cs="Arial" w:eastAsia="Arial" w:hAnsi="Arial"/>
        </w:rPr>
        <w:t xml:space="preserve">7. Secondary Brief — шаблон</w:t>
      </w:r>
    </w:p>
    <w:p>
      <w:pPr>
        <w:spacing w:after="120" w:line="300"/>
      </w:pPr>
      <w:r>
        <w:rPr>
          <w:rFonts w:ascii="Arial" w:cs="Arial" w:eastAsia="Arial" w:hAnsi="Arial"/>
        </w:rPr>
        <w:t xml:space="preserve">Уровни раскрытия те же, что в Product 4: L0 — публично только «curated secondary opportunities»; L1 — тизер без названия; L2 — после NDA. Поля, отличающие secondary от primary, выделены.</w:t>
      </w:r>
    </w:p>
    <w:tbl>
      <w:tblPr>
        <w:tblW w:type="dxa" w:w="9638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</w:tblPr>
      <w:tblGrid>
        <w:gridCol w:w="2313"/>
        <w:gridCol w:w="5012"/>
        <w:gridCol w:w="2313"/>
      </w:tblGrid>
      <w:tr>
        <w:trPr>
          <w:cantSplit/>
          <w:tblHeader/>
        </w:trPr>
        <w:tc>
          <w:tcPr>
            <w:tcW w:type="dxa" w:w="2313"/>
            <w:shd w:fill="2D3A1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Поле</w:t>
            </w:r>
          </w:p>
        </w:tc>
        <w:tc>
          <w:tcPr>
            <w:tcW w:type="dxa" w:w="5012"/>
            <w:shd w:fill="2D3A1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Что писать</w:t>
            </w:r>
          </w:p>
        </w:tc>
        <w:tc>
          <w:tcPr>
            <w:tcW w:type="dxa" w:w="2313"/>
            <w:shd w:fill="2D3A1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Уровень</w:t>
            </w:r>
          </w:p>
        </w:tc>
      </w:tr>
      <w:tr>
        <w:trPr>
          <w:cantSplit/>
          <w:tblHeader w:val="false"/>
        </w:trPr>
        <w:tc>
          <w:tcPr>
            <w:tcW w:type="dxa" w:w="2313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Компания</w:t>
            </w:r>
          </w:p>
        </w:tc>
        <w:tc>
          <w:tcPr>
            <w:tcW w:type="dxa" w:w="5012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Название, год, сектор, инвесторы предыдущих раундов</w:t>
            </w:r>
          </w:p>
        </w:tc>
        <w:tc>
          <w:tcPr>
            <w:tcW w:type="dxa" w:w="2313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L1: сектор, стадия · L2: всё</w:t>
            </w:r>
          </w:p>
        </w:tc>
      </w:tr>
      <w:tr>
        <w:trPr>
          <w:cantSplit/>
          <w:tblHeader w:val="false"/>
        </w:trPr>
        <w:tc>
          <w:tcPr>
            <w:tcW w:type="dxa" w:w="2313"/>
            <w:shd w:fill="F7F8F4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Продавец и мотив</w:t>
            </w:r>
          </w:p>
        </w:tc>
        <w:tc>
          <w:tcPr>
            <w:tcW w:type="dxa" w:w="5012"/>
            <w:shd w:fill="F7F8F4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Тип держателя (ангел / фонд / фаундер / сотрудник), причина продажи, доля от его позиции</w:t>
            </w:r>
          </w:p>
        </w:tc>
        <w:tc>
          <w:tcPr>
            <w:tcW w:type="dxa" w:w="2313"/>
            <w:shd w:fill="F7F8F4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L2 (тип — L1)</w:t>
            </w:r>
          </w:p>
        </w:tc>
      </w:tr>
      <w:tr>
        <w:trPr>
          <w:cantSplit/>
          <w:tblHeader w:val="false"/>
        </w:trPr>
        <w:tc>
          <w:tcPr>
            <w:tcW w:type="dxa" w:w="2313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Позиция</w:t>
            </w:r>
          </w:p>
        </w:tc>
        <w:tc>
          <w:tcPr>
            <w:tcW w:type="dxa" w:w="5012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Класс акций / доля / SAFE; размер пакета в % и в деньгах; права (pro-rata, информационные)</w:t>
            </w:r>
          </w:p>
        </w:tc>
        <w:tc>
          <w:tcPr>
            <w:tcW w:type="dxa" w:w="2313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L2</w:t>
            </w:r>
          </w:p>
        </w:tc>
      </w:tr>
      <w:tr>
        <w:trPr>
          <w:cantSplit/>
          <w:tblHeader w:val="false"/>
        </w:trPr>
        <w:tc>
          <w:tcPr>
            <w:tcW w:type="dxa" w:w="2313"/>
            <w:shd w:fill="F7F8F4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Ценообразование</w:t>
            </w:r>
          </w:p>
        </w:tc>
        <w:tc>
          <w:tcPr>
            <w:tcW w:type="dxa" w:w="5012"/>
            <w:shd w:fill="F7F8F4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Последний раунд: дата, оценка; предлагаемая цена; премия / дисконт и обоснование</w:t>
            </w:r>
          </w:p>
        </w:tc>
        <w:tc>
          <w:tcPr>
            <w:tcW w:type="dxa" w:w="2313"/>
            <w:shd w:fill="F7F8F4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L1: порядок · L2: точно</w:t>
            </w:r>
          </w:p>
        </w:tc>
      </w:tr>
      <w:tr>
        <w:trPr>
          <w:cantSplit/>
          <w:tblHeader w:val="false"/>
        </w:trPr>
        <w:tc>
          <w:tcPr>
            <w:tcW w:type="dxa" w:w="2313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Ограничения на передачу</w:t>
            </w:r>
          </w:p>
        </w:tc>
        <w:tc>
          <w:tcPr>
            <w:tcW w:type="dxa" w:w="5012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ROFR, согласие совета / компании, lock-up, ожидаемая длительность процедур</w:t>
            </w:r>
          </w:p>
        </w:tc>
        <w:tc>
          <w:tcPr>
            <w:tcW w:type="dxa" w:w="2313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L2</w:t>
            </w:r>
          </w:p>
        </w:tc>
      </w:tr>
      <w:tr>
        <w:trPr>
          <w:cantSplit/>
          <w:tblHeader w:val="false"/>
        </w:trPr>
        <w:tc>
          <w:tcPr>
            <w:tcW w:type="dxa" w:w="2313"/>
            <w:shd w:fill="F7F8F4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Метрики компании</w:t>
            </w:r>
          </w:p>
        </w:tc>
        <w:tc>
          <w:tcPr>
            <w:tcW w:type="dxa" w:w="5012"/>
            <w:shd w:fill="F7F8F4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Выручка, рост, runway, ключевые контракты</w:t>
            </w:r>
          </w:p>
        </w:tc>
        <w:tc>
          <w:tcPr>
            <w:tcW w:type="dxa" w:w="2313"/>
            <w:shd w:fill="F7F8F4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L2</w:t>
            </w:r>
          </w:p>
        </w:tc>
      </w:tr>
      <w:tr>
        <w:trPr>
          <w:cantSplit/>
          <w:tblHeader w:val="false"/>
        </w:trPr>
        <w:tc>
          <w:tcPr>
            <w:tcW w:type="dxa" w:w="2313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Тезис покупателя</w:t>
            </w:r>
          </w:p>
        </w:tc>
        <w:tc>
          <w:tcPr>
            <w:tcW w:type="dxa" w:w="5012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Почему сейчас; путь к exit; горизонт</w:t>
            </w:r>
          </w:p>
        </w:tc>
        <w:tc>
          <w:tcPr>
            <w:tcW w:type="dxa" w:w="2313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L2</w:t>
            </w:r>
          </w:p>
        </w:tc>
      </w:tr>
      <w:tr>
        <w:trPr>
          <w:cantSplit/>
          <w:tblHeader w:val="false"/>
        </w:trPr>
        <w:tc>
          <w:tcPr>
            <w:tcW w:type="dxa" w:w="2313"/>
            <w:shd w:fill="F7F8F4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Ticket и структура</w:t>
            </w:r>
          </w:p>
        </w:tc>
        <w:tc>
          <w:tcPr>
            <w:tcW w:type="dxa" w:w="5012"/>
            <w:shd w:fill="F7F8F4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Мин / макс; прямая покупка или SPV; партнёр по транзакции</w:t>
            </w:r>
          </w:p>
        </w:tc>
        <w:tc>
          <w:tcPr>
            <w:tcW w:type="dxa" w:w="2313"/>
            <w:shd w:fill="F7F8F4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L1: порядок · L2: точно</w:t>
            </w:r>
          </w:p>
        </w:tc>
      </w:tr>
      <w:tr>
        <w:trPr>
          <w:cantSplit/>
          <w:tblHeader w:val="false"/>
        </w:trPr>
        <w:tc>
          <w:tcPr>
            <w:tcW w:type="dxa" w:w="2313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Сроки</w:t>
            </w:r>
          </w:p>
        </w:tc>
        <w:tc>
          <w:tcPr>
            <w:tcW w:type="dxa" w:w="5012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Окно решения продавца; срок процедур передачи</w:t>
            </w:r>
          </w:p>
        </w:tc>
        <w:tc>
          <w:tcPr>
            <w:tcW w:type="dxa" w:w="2313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L1: квартал · L2: даты</w:t>
            </w:r>
          </w:p>
        </w:tc>
      </w:tr>
      <w:tr>
        <w:trPr>
          <w:cantSplit/>
          <w:tblHeader w:val="false"/>
        </w:trPr>
        <w:tc>
          <w:tcPr>
            <w:tcW w:type="dxa" w:w="2313"/>
            <w:shd w:fill="F7F8F4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Кому предлагать</w:t>
            </w:r>
          </w:p>
        </w:tc>
        <w:tc>
          <w:tcPr>
            <w:tcW w:type="dxa" w:w="5012"/>
            <w:shd w:fill="F7F8F4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Профиль покупателя; ограничения</w:t>
            </w:r>
          </w:p>
        </w:tc>
        <w:tc>
          <w:tcPr>
            <w:tcW w:type="dxa" w:w="2313"/>
            <w:shd w:fill="F7F8F4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BDP</w:t>
            </w:r>
          </w:p>
        </w:tc>
      </w:tr>
      <w:tr>
        <w:trPr>
          <w:cantSplit/>
          <w:tblHeader w:val="false"/>
        </w:trPr>
        <w:tc>
          <w:tcPr>
            <w:tcW w:type="dxa" w:w="2313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Что разрешено раскрывать</w:t>
            </w:r>
          </w:p>
        </w:tc>
        <w:tc>
          <w:tcPr>
            <w:tcW w:type="dxa" w:w="5012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Список для L1; кто согласует отклонения</w:t>
            </w:r>
          </w:p>
        </w:tc>
        <w:tc>
          <w:tcPr>
            <w:tcW w:type="dxa" w:w="2313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BDP</w:t>
            </w:r>
          </w:p>
        </w:tc>
      </w:tr>
      <w:tr>
        <w:trPr>
          <w:cantSplit/>
          <w:tblHeader w:val="false"/>
        </w:trPr>
        <w:tc>
          <w:tcPr>
            <w:tcW w:type="dxa" w:w="2313"/>
            <w:shd w:fill="F7F8F4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Источник</w:t>
            </w:r>
          </w:p>
        </w:tc>
        <w:tc>
          <w:tcPr>
            <w:tcW w:type="dxa" w:w="5012"/>
            <w:shd w:fill="F7F8F4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Откуда пришла позиция (Network VC / фонд X / FO); условия referral</w:t>
            </w:r>
          </w:p>
        </w:tc>
        <w:tc>
          <w:tcPr>
            <w:tcW w:type="dxa" w:w="2313"/>
            <w:shd w:fill="F7F8F4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внутреннее</w:t>
            </w:r>
          </w:p>
        </w:tc>
      </w:tr>
    </w:tbl>
    <w:p>
      <w:pPr>
        <w:pStyle w:val="Heading1"/>
        <w:spacing w:after="160" w:before="360"/>
      </w:pPr>
      <w:r>
        <w:rPr>
          <w:rFonts w:ascii="Arial" w:cs="Arial" w:eastAsia="Arial" w:hAnsi="Arial"/>
        </w:rPr>
        <w:t xml:space="preserve">8. Экономика и «сколько это стоит»</w:t>
      </w:r>
    </w:p>
    <w:tbl>
      <w:tblPr>
        <w:tblW w:type="dxa" w:w="9638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</w:tblPr>
      <w:tblGrid>
        <w:gridCol w:w="2120"/>
        <w:gridCol w:w="2891"/>
        <w:gridCol w:w="4627"/>
      </w:tblGrid>
      <w:tr>
        <w:trPr>
          <w:cantSplit/>
          <w:tblHeader/>
        </w:trPr>
        <w:tc>
          <w:tcPr>
            <w:tcW w:type="dxa" w:w="2120"/>
            <w:shd w:fill="2D3A1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Параметр</w:t>
            </w:r>
          </w:p>
        </w:tc>
        <w:tc>
          <w:tcPr>
            <w:tcW w:type="dxa" w:w="2891"/>
            <w:shd w:fill="2D3A1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Значение</w:t>
            </w:r>
          </w:p>
        </w:tc>
        <w:tc>
          <w:tcPr>
            <w:tcW w:type="dxa" w:w="4627"/>
            <w:shd w:fill="2D3A1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Комментарий</w:t>
            </w:r>
          </w:p>
        </w:tc>
      </w:tr>
      <w:tr>
        <w:trPr>
          <w:cantSplit/>
          <w:tblHeader w:val="false"/>
        </w:trPr>
        <w:tc>
          <w:tcPr>
            <w:tcW w:type="dxa" w:w="21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Порог входа покупателя</w:t>
            </w:r>
          </w:p>
        </w:tc>
        <w:tc>
          <w:tcPr>
            <w:tcW w:type="dxa" w:w="2891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[уточнить; ориентир — как GP в Product 4, от $100k]</w:t>
            </w:r>
          </w:p>
        </w:tc>
        <w:tc>
          <w:tcPr>
            <w:tcW w:type="dxa" w:w="4627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Зависит от размера пакета и партнёра по транзакции</w:t>
            </w:r>
          </w:p>
        </w:tc>
      </w:tr>
      <w:tr>
        <w:trPr>
          <w:cantSplit/>
          <w:tblHeader w:val="false"/>
        </w:trPr>
        <w:tc>
          <w:tcPr>
            <w:tcW w:type="dxa" w:w="21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Плата за доступ</w:t>
            </w:r>
          </w:p>
        </w:tc>
        <w:tc>
          <w:tcPr>
            <w:tcW w:type="dxa" w:w="2891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[уточнить]</w:t>
            </w:r>
          </w:p>
        </w:tc>
        <w:tc>
          <w:tcPr>
            <w:tcW w:type="dxa" w:w="4627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Как в Product 4: единое решение для обоих инвестиционных продуктов</w:t>
            </w:r>
          </w:p>
        </w:tc>
      </w:tr>
      <w:tr>
        <w:trPr>
          <w:cantSplit/>
          <w:tblHeader w:val="false"/>
        </w:trPr>
        <w:tc>
          <w:tcPr>
            <w:tcW w:type="dxa" w:w="21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Экономика CV</w:t>
            </w:r>
          </w:p>
        </w:tc>
        <w:tc>
          <w:tcPr>
            <w:tcW w:type="dxa" w:w="2891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[уточнить]</w:t>
            </w:r>
          </w:p>
        </w:tc>
        <w:tc>
          <w:tcPr>
            <w:tcW w:type="dxa" w:w="4627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Варианты: доля в SPV; фикс за структурирование через партнёра; referral от источника. Не «брокерская комиссия» от CV напрямую (регуляторная зона)</w:t>
            </w:r>
          </w:p>
        </w:tc>
      </w:tr>
      <w:tr>
        <w:trPr>
          <w:cantSplit/>
          <w:tblHeader w:val="false"/>
        </w:trPr>
        <w:tc>
          <w:tcPr>
            <w:tcW w:type="dxa" w:w="21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Цикл денег для CV</w:t>
            </w:r>
          </w:p>
        </w:tc>
        <w:tc>
          <w:tcPr>
            <w:tcW w:type="dxa" w:w="2891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короче, чем в primary</w:t>
            </w:r>
          </w:p>
        </w:tc>
        <w:tc>
          <w:tcPr>
            <w:tcW w:type="dxa" w:w="4627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Транзакция закрывается без сбора раунда; но доход CV от позиции — при exit</w:t>
            </w:r>
          </w:p>
        </w:tc>
      </w:tr>
      <w:tr>
        <w:trPr>
          <w:cantSplit/>
          <w:tblHeader w:val="false"/>
        </w:trPr>
        <w:tc>
          <w:tcPr>
            <w:tcW w:type="dxa" w:w="21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KPI продукта</w:t>
            </w:r>
          </w:p>
        </w:tc>
        <w:tc>
          <w:tcPr>
            <w:tcW w:type="dxa" w:w="2891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число активных позиций в pipeline; число фондов с overflow-договорённостью; закрытые передачи</w:t>
            </w:r>
          </w:p>
        </w:tc>
        <w:tc>
          <w:tcPr>
            <w:tcW w:type="dxa" w:w="4627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Цель — стабильный, а не разовый deal flow</w:t>
            </w:r>
          </w:p>
        </w:tc>
      </w:tr>
    </w:tbl>
    <w:p>
      <w:pPr>
        <w:spacing w:after="120"/>
      </w:pPr>
    </w:p>
    <w:p>
      <w:pPr>
        <w:spacing w:after="120" w:line="300"/>
      </w:pPr>
      <w:r>
        <w:rPr>
          <w:rFonts w:ascii="Arial" w:cs="Arial" w:eastAsia="Arial" w:hAnsi="Arial"/>
          <w:b/>
          <w:bCs/>
        </w:rPr>
        <w:t xml:space="preserve">Как отвечать на «сколько это стоит»:</w:t>
      </w:r>
      <w:r>
        <w:rPr>
          <w:rFonts w:ascii="Arial" w:cs="Arial" w:eastAsia="Arial" w:hAnsi="Arial"/>
        </w:rPr>
        <w:t xml:space="preserve"> «Вход — от [порог], зависит от пакета. Цена доли — в брифе, с обоснованием относительно последнего раунда. Условия — письменно, через лицензированного партнёра». Не обещать дисконт.</w:t>
      </w:r>
    </w:p>
    <w:p>
      <w:pPr>
        <w:pStyle w:val="Heading1"/>
        <w:spacing w:after="160" w:before="360"/>
      </w:pPr>
      <w:r>
        <w:rPr>
          <w:rFonts w:ascii="Arial" w:cs="Arial" w:eastAsia="Arial" w:hAnsi="Arial"/>
        </w:rPr>
        <w:t xml:space="preserve">9. Дефицит, срочность, гарантия</w:t>
      </w:r>
    </w:p>
    <w:tbl>
      <w:tblPr>
        <w:tblW w:type="dxa" w:w="9638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</w:tblPr>
      <w:tblGrid>
        <w:gridCol w:w="1542"/>
        <w:gridCol w:w="4048"/>
        <w:gridCol w:w="4048"/>
      </w:tblGrid>
      <w:tr>
        <w:trPr>
          <w:cantSplit/>
          <w:tblHeader/>
        </w:trPr>
        <w:tc>
          <w:tcPr>
            <w:tcW w:type="dxa" w:w="1542"/>
            <w:shd w:fill="2D3A1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Рычаг</w:t>
            </w:r>
          </w:p>
        </w:tc>
        <w:tc>
          <w:tcPr>
            <w:tcW w:type="dxa" w:w="4048"/>
            <w:shd w:fill="2D3A1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Факт</w:t>
            </w:r>
          </w:p>
        </w:tc>
        <w:tc>
          <w:tcPr>
            <w:tcW w:type="dxa" w:w="4048"/>
            <w:shd w:fill="2D3A1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Как использовать</w:t>
            </w:r>
          </w:p>
        </w:tc>
      </w:tr>
      <w:tr>
        <w:trPr>
          <w:cantSplit/>
          <w:tblHeader w:val="false"/>
        </w:trPr>
        <w:tc>
          <w:tcPr>
            <w:tcW w:type="dxa" w:w="1542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Scarcity</w:t>
            </w:r>
          </w:p>
        </w:tc>
        <w:tc>
          <w:tcPr>
            <w:tcW w:type="dxa" w:w="4048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Позиция — одна; продавец — один; пакет — конечный</w:t>
            </w:r>
          </w:p>
        </w:tc>
        <w:tc>
          <w:tcPr>
            <w:tcW w:type="dxa" w:w="4048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«Это конкретный пакет у конкретного держателя. Второго такого не будет»</w:t>
            </w:r>
          </w:p>
        </w:tc>
      </w:tr>
      <w:tr>
        <w:trPr>
          <w:cantSplit/>
          <w:tblHeader w:val="false"/>
        </w:trPr>
        <w:tc>
          <w:tcPr>
            <w:tcW w:type="dxa" w:w="1542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Urgency</w:t>
            </w:r>
          </w:p>
        </w:tc>
        <w:tc>
          <w:tcPr>
            <w:tcW w:type="dxa" w:w="4048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Продавец хочет ликвидность в своём окне; ROFR у текущих инвесторов ограничен сроком</w:t>
            </w:r>
          </w:p>
        </w:tc>
        <w:tc>
          <w:tcPr>
            <w:tcW w:type="dxa" w:w="4048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«У продавца окно до [дата]. Пока идёт ROFR, мы фиксируем вашу готовность»</w:t>
            </w:r>
          </w:p>
        </w:tc>
      </w:tr>
      <w:tr>
        <w:trPr>
          <w:cantSplit/>
          <w:tblHeader w:val="false"/>
        </w:trPr>
        <w:tc>
          <w:tcPr>
            <w:tcW w:type="dxa" w:w="1542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Guarantee</w:t>
            </w:r>
          </w:p>
        </w:tc>
        <w:tc>
          <w:tcPr>
            <w:tcW w:type="dxa" w:w="4048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Не гарантируем дисконт, доходность или exit. Гарантируем процесс: соблюдение устава, лицензированный партнёр, письменные условия</w:t>
            </w:r>
          </w:p>
        </w:tc>
        <w:tc>
          <w:tcPr>
            <w:tcW w:type="dxa" w:w="4048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«Мы гарантируем, что передача пройдёт по правилам компании — это единственное, что стоит гарантировать»</w:t>
            </w:r>
          </w:p>
        </w:tc>
      </w:tr>
    </w:tbl>
    <w:p>
      <w:pPr>
        <w:pStyle w:val="Heading1"/>
        <w:spacing w:after="160" w:before="360"/>
      </w:pPr>
      <w:r>
        <w:rPr>
          <w:rFonts w:ascii="Arial" w:cs="Arial" w:eastAsia="Arial" w:hAnsi="Arial"/>
        </w:rPr>
        <w:t xml:space="preserve">10. Возражения</w:t>
      </w:r>
    </w:p>
    <w:tbl>
      <w:tblPr>
        <w:tblW w:type="dxa" w:w="9638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</w:tblPr>
      <w:tblGrid>
        <w:gridCol w:w="2891"/>
        <w:gridCol w:w="6747"/>
      </w:tblGrid>
      <w:tr>
        <w:trPr>
          <w:cantSplit/>
          <w:tblHeader/>
        </w:trPr>
        <w:tc>
          <w:tcPr>
            <w:tcW w:type="dxa" w:w="2891"/>
            <w:shd w:fill="2D3A1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Возражение</w:t>
            </w:r>
          </w:p>
        </w:tc>
        <w:tc>
          <w:tcPr>
            <w:tcW w:type="dxa" w:w="6747"/>
            <w:shd w:fill="2D3A1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Ответ</w:t>
            </w:r>
          </w:p>
        </w:tc>
      </w:tr>
      <w:tr>
        <w:trPr>
          <w:cantSplit/>
          <w:tblHeader w:val="false"/>
        </w:trPr>
        <w:tc>
          <w:tcPr>
            <w:tcW w:type="dxa" w:w="2891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«Если продают — значит, что-то не так с компанией»</w:t>
            </w:r>
          </w:p>
        </w:tc>
        <w:tc>
          <w:tcPr>
            <w:tcW w:type="dxa" w:w="6747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«Чаще всего продаёт фонд на конце срока или ангел, которому нужна ликвидность. Мотив продавца — в брифе. Если мотив — проблемы компании, мы это скажем или не покажем сделку»</w:t>
            </w:r>
          </w:p>
        </w:tc>
      </w:tr>
      <w:tr>
        <w:trPr>
          <w:cantSplit/>
          <w:tblHeader w:val="false"/>
        </w:trPr>
        <w:tc>
          <w:tcPr>
            <w:tcW w:type="dxa" w:w="2891"/>
            <w:shd w:fill="F7F8F4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«Хочу дисконт 50%»</w:t>
            </w:r>
          </w:p>
        </w:tc>
        <w:tc>
          <w:tcPr>
            <w:tcW w:type="dxa" w:w="6747"/>
            <w:shd w:fill="F7F8F4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«Дисконт — не правило. Цена обосновывается последним раундом и траекторией. Бывает и премия. Мы показываем обоснование, а не обещаем скидку»</w:t>
            </w:r>
          </w:p>
        </w:tc>
      </w:tr>
      <w:tr>
        <w:trPr>
          <w:cantSplit/>
          <w:tblHeader w:val="false"/>
        </w:trPr>
        <w:tc>
          <w:tcPr>
            <w:tcW w:type="dxa" w:w="2891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«Компания заблокирует передачу»</w:t>
            </w:r>
          </w:p>
        </w:tc>
        <w:tc>
          <w:tcPr>
            <w:tcW w:type="dxa" w:w="6747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«Поэтому ограничения — отдельное поле брифа, а координация с компанией — часть нашей работы, до вашего коммита»</w:t>
            </w:r>
          </w:p>
        </w:tc>
      </w:tr>
      <w:tr>
        <w:trPr>
          <w:cantSplit/>
          <w:tblHeader w:val="false"/>
        </w:trPr>
        <w:tc>
          <w:tcPr>
            <w:tcW w:type="dxa" w:w="2891"/>
            <w:shd w:fill="F7F8F4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«Почему фонд отдаёт вам сделки?»</w:t>
            </w:r>
          </w:p>
        </w:tc>
        <w:tc>
          <w:tcPr>
            <w:tcW w:type="dxa" w:w="6747"/>
            <w:shd w:fill="F7F8F4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«Потому что иначе он их теряет. Мандат — про фокус фонда, а не про качество компании»</w:t>
            </w:r>
          </w:p>
        </w:tc>
      </w:tr>
      <w:tr>
        <w:trPr>
          <w:cantSplit/>
          <w:tblHeader w:val="false"/>
        </w:trPr>
        <w:tc>
          <w:tcPr>
            <w:tcW w:type="dxa" w:w="2891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«Это то же, что Product 4?»</w:t>
            </w:r>
          </w:p>
        </w:tc>
        <w:tc>
          <w:tcPr>
            <w:tcW w:type="dxa" w:w="6747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«Нет. Там деньги идут компании за новую долю. Здесь — держателю за существующую. Другой риск, другая цена, другая скорость»</w:t>
            </w:r>
          </w:p>
        </w:tc>
      </w:tr>
    </w:tbl>
    <w:p>
      <w:pPr>
        <w:pStyle w:val="Heading1"/>
        <w:spacing w:after="160" w:before="360"/>
      </w:pPr>
      <w:r>
        <w:rPr>
          <w:rFonts w:ascii="Arial" w:cs="Arial" w:eastAsia="Arial" w:hAnsi="Arial"/>
        </w:rPr>
        <w:t xml:space="preserve">11. Что НЕ говорить — комплаенс</w:t>
      </w:r>
    </w:p>
    <w:tbl>
      <w:tblPr>
        <w:tblW w:type="dxa" w:w="9638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</w:tblPr>
      <w:tblGrid>
        <w:gridCol w:w="4241"/>
        <w:gridCol w:w="5397"/>
      </w:tblGrid>
      <w:tr>
        <w:trPr>
          <w:cantSplit/>
          <w:tblHeader/>
        </w:trPr>
        <w:tc>
          <w:tcPr>
            <w:tcW w:type="dxa" w:w="4241"/>
            <w:shd w:fill="2D3A1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Не говорить</w:t>
            </w:r>
          </w:p>
        </w:tc>
        <w:tc>
          <w:tcPr>
            <w:tcW w:type="dxa" w:w="5397"/>
            <w:shd w:fill="2D3A1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Говорить вместо этого</w:t>
            </w:r>
          </w:p>
        </w:tc>
      </w:tr>
      <w:tr>
        <w:trPr>
          <w:cantSplit/>
          <w:tblHeader w:val="false"/>
        </w:trPr>
        <w:tc>
          <w:tcPr>
            <w:tcW w:type="dxa" w:w="4241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«Распродажа долей», «дёшево», «гарантированный дисконт»</w:t>
            </w:r>
          </w:p>
        </w:tc>
        <w:tc>
          <w:tcPr>
            <w:tcW w:type="dxa" w:w="5397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«Цена — по обоснованию относительно последнего раунда; бывает и дисконт, и премия»</w:t>
            </w:r>
          </w:p>
        </w:tc>
      </w:tr>
      <w:tr>
        <w:trPr>
          <w:cantSplit/>
          <w:tblHeader w:val="false"/>
        </w:trPr>
        <w:tc>
          <w:tcPr>
            <w:tcW w:type="dxa" w:w="4241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Название компании, продавца, цену — вне NDA</w:t>
            </w:r>
          </w:p>
        </w:tc>
        <w:tc>
          <w:tcPr>
            <w:tcW w:type="dxa" w:w="5397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L0 / L1 / L2, как в Product 4</w:t>
            </w:r>
          </w:p>
        </w:tc>
      </w:tr>
      <w:tr>
        <w:trPr>
          <w:cantSplit/>
          <w:tblHeader w:val="false"/>
        </w:trPr>
        <w:tc>
          <w:tcPr>
            <w:tcW w:type="dxa" w:w="4241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«Передадим долю быстро, минуя формальности»</w:t>
            </w:r>
          </w:p>
        </w:tc>
        <w:tc>
          <w:tcPr>
            <w:tcW w:type="dxa" w:w="5397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«Передача — по уставу компании: ROFR, согласия, документы. Через лицензированного партнёра»</w:t>
            </w:r>
          </w:p>
        </w:tc>
      </w:tr>
      <w:tr>
        <w:trPr>
          <w:cantSplit/>
          <w:tblHeader w:val="false"/>
        </w:trPr>
        <w:tc>
          <w:tcPr>
            <w:tcW w:type="dxa" w:w="4241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«Cyprus Valley — брокер / посредник за комиссию»</w:t>
            </w:r>
          </w:p>
        </w:tc>
        <w:tc>
          <w:tcPr>
            <w:tcW w:type="dxa" w:w="5397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«CV находит и готовит возможность; транзакция — у лицензированного партнёра» (CySEC-зона)</w:t>
            </w:r>
          </w:p>
        </w:tc>
      </w:tr>
      <w:tr>
        <w:trPr>
          <w:cantSplit/>
          <w:tblHeader w:val="false"/>
        </w:trPr>
        <w:tc>
          <w:tcPr>
            <w:tcW w:type="dxa" w:w="4241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«Фонд X отказал этой компании» — как факт публично</w:t>
            </w:r>
          </w:p>
        </w:tc>
        <w:tc>
          <w:tcPr>
            <w:tcW w:type="dxa" w:w="5397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«Компания вне мандата фонда-партнёра» — и только в закрытом формате, с согласия фонда</w:t>
            </w:r>
          </w:p>
        </w:tc>
      </w:tr>
      <w:tr>
        <w:trPr>
          <w:cantSplit/>
          <w:tblHeader w:val="false"/>
        </w:trPr>
        <w:tc>
          <w:tcPr>
            <w:tcW w:type="dxa" w:w="4241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Кто именно продаёт (имя ангела, фонда)</w:t>
            </w:r>
          </w:p>
        </w:tc>
        <w:tc>
          <w:tcPr>
            <w:tcW w:type="dxa" w:w="5397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Тип продавца и мотив; имя — только с согласия и на L2</w:t>
            </w:r>
          </w:p>
        </w:tc>
      </w:tr>
      <w:tr>
        <w:trPr>
          <w:cantSplit/>
          <w:tblHeader w:val="false"/>
        </w:trPr>
        <w:tc>
          <w:tcPr>
            <w:tcW w:type="dxa" w:w="4241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Обещать покупателю pro-rata / права, не проверив документы</w:t>
            </w:r>
          </w:p>
        </w:tc>
        <w:tc>
          <w:tcPr>
            <w:tcW w:type="dxa" w:w="5397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«Права по позиции — в брифе после проверки документов компании»</w:t>
            </w:r>
          </w:p>
        </w:tc>
      </w:tr>
    </w:tbl>
    <w:sectPr>
      <w:footerReference w:type="default" r:id="rId7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595959"/>
        <w:sz w:val="16"/>
        <w:szCs w:val="16"/>
      </w:rPr>
      <w:t xml:space="preserve">Cyprus Valley · Internal sales reference · </w:t>
    </w:r>
    <w:r>
      <w:rPr>
        <w:rFonts w:ascii="Arial" w:cs="Arial" w:eastAsia="Arial" w:hAnsi="Arial"/>
        <w:color w:val="595959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30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60"/>
      </w:p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60"/>
      </w:pPr>
    </w:lvl>
  </w:abstractNum>
  <w:abstractNum w:abstractNumId="5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A1A1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60" w:before="360"/>
      <w:outlineLvl w:val="0"/>
    </w:pPr>
    <w:rPr>
      <w:rFonts w:ascii="Arial" w:cs="Arial" w:eastAsia="Arial" w:hAnsi="Arial"/>
      <w:b/>
      <w:bCs/>
      <w:color w:val="2D3A1F"/>
      <w:sz w:val="28"/>
      <w:szCs w:val="28"/>
    </w:rPr>
  </w:style>
  <w:style w:type="paragraph" w:styleId="Heading2">
    <w:name w:val="Heading 2"/>
    <w:basedOn w:val="Normal"/>
    <w:next w:val="Normal"/>
    <w:qFormat/>
    <w:pPr>
      <w:spacing w:after="120" w:before="240"/>
      <w:outlineLvl w:val="1"/>
    </w:pPr>
    <w:rPr>
      <w:rFonts w:ascii="Arial" w:cs="Arial" w:eastAsia="Arial" w:hAnsi="Arial"/>
      <w:b/>
      <w:bCs/>
      <w:color w:val="3F5228"/>
      <w:sz w:val="23"/>
      <w:szCs w:val="23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Product 5: Secondary Market</dc:title>
  <dc:creator>Cyprus Valley</dc:creator>
  <cp:lastModifiedBy>Un-named</cp:lastModifiedBy>
  <cp:revision>1</cp:revision>
  <dcterms:created xsi:type="dcterms:W3CDTF">2026-08-26T12:32:37.991Z</dcterms:created>
  <dcterms:modified xsi:type="dcterms:W3CDTF">2026-08-26T12:32:37.991Z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